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Ariel Christopher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Tesserae Chair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Human-to-Tools/Face-to-Face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Waiting is a universal activity, however the experience is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often not seen as positive. The Tesserae Chair is not simply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 chair, it is an improved experience. The geometric shape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 the chair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allows users to position their chairs in a variety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 arrangements and customize their waiting experience.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chair has a compartment that allows for the temporary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storage of personal belongings. From an office lobby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 airport terminal, the design of this chairs allows it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be used in a variety of contexts. Interior designers can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arrange a waiting space by using the chair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s geometry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tessellate them into a fixed formation.This chair is designed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so users are at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same seat height as wheelchairs, which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encourages inclusivity within a group and is ideal for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healthcare waiting space.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